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9656" w14:textId="77777777" w:rsidR="00221453" w:rsidRDefault="00221453" w:rsidP="00221453">
      <w:pPr>
        <w:spacing w:after="160" w:line="259" w:lineRule="auto"/>
        <w:rPr>
          <w:rFonts w:ascii="Cambria" w:hAnsi="Cambria"/>
          <w:b/>
          <w:sz w:val="40"/>
          <w:szCs w:val="40"/>
        </w:rPr>
      </w:pPr>
    </w:p>
    <w:p w14:paraId="0E8B4101" w14:textId="24403083" w:rsidR="00221453" w:rsidRDefault="00221453" w:rsidP="00221453">
      <w:pPr>
        <w:spacing w:after="160" w:line="259" w:lineRule="auto"/>
        <w:rPr>
          <w:rFonts w:ascii="Cambria" w:hAnsi="Cambria"/>
          <w:b/>
          <w:sz w:val="40"/>
          <w:szCs w:val="40"/>
        </w:rPr>
      </w:pPr>
      <w:r>
        <w:rPr>
          <w:noProof/>
        </w:rPr>
        <w:drawing>
          <wp:anchor distT="0" distB="0" distL="114300" distR="114300" simplePos="0" relativeHeight="251659264" behindDoc="1" locked="0" layoutInCell="1" allowOverlap="1" wp14:anchorId="5727F80B" wp14:editId="27D151E9">
            <wp:simplePos x="0" y="0"/>
            <wp:positionH relativeFrom="page">
              <wp:align>center</wp:align>
            </wp:positionH>
            <wp:positionV relativeFrom="paragraph">
              <wp:posOffset>6985</wp:posOffset>
            </wp:positionV>
            <wp:extent cx="4572000" cy="4251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425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497C16" w14:textId="77777777" w:rsidR="00221453" w:rsidRDefault="00221453" w:rsidP="00221453">
      <w:pPr>
        <w:spacing w:after="160" w:line="259" w:lineRule="auto"/>
        <w:rPr>
          <w:rFonts w:ascii="Cambria" w:hAnsi="Cambria"/>
          <w:b/>
          <w:sz w:val="40"/>
          <w:szCs w:val="40"/>
        </w:rPr>
      </w:pPr>
    </w:p>
    <w:p w14:paraId="112A1EBA" w14:textId="77777777" w:rsidR="00221453" w:rsidRDefault="00221453" w:rsidP="00221453">
      <w:pPr>
        <w:spacing w:after="160" w:line="259" w:lineRule="auto"/>
        <w:rPr>
          <w:rFonts w:ascii="Cambria" w:hAnsi="Cambria"/>
          <w:b/>
          <w:sz w:val="40"/>
          <w:szCs w:val="40"/>
        </w:rPr>
      </w:pPr>
    </w:p>
    <w:p w14:paraId="17E98B08" w14:textId="77777777" w:rsidR="00221453" w:rsidRDefault="00221453" w:rsidP="00221453">
      <w:pPr>
        <w:spacing w:after="160" w:line="259" w:lineRule="auto"/>
        <w:rPr>
          <w:rFonts w:ascii="Cambria" w:hAnsi="Cambria"/>
          <w:b/>
          <w:sz w:val="40"/>
          <w:szCs w:val="40"/>
        </w:rPr>
      </w:pPr>
    </w:p>
    <w:p w14:paraId="758773FD" w14:textId="77777777" w:rsidR="00221453" w:rsidRDefault="00221453" w:rsidP="00221453">
      <w:pPr>
        <w:spacing w:after="160" w:line="259" w:lineRule="auto"/>
        <w:rPr>
          <w:rFonts w:ascii="Cambria" w:hAnsi="Cambria"/>
          <w:b/>
          <w:sz w:val="40"/>
          <w:szCs w:val="40"/>
        </w:rPr>
      </w:pPr>
    </w:p>
    <w:p w14:paraId="6879B90D" w14:textId="77777777" w:rsidR="00221453" w:rsidRDefault="00221453" w:rsidP="00221453">
      <w:pPr>
        <w:spacing w:after="160" w:line="259" w:lineRule="auto"/>
        <w:rPr>
          <w:rFonts w:ascii="Cambria" w:hAnsi="Cambria"/>
          <w:b/>
          <w:sz w:val="40"/>
          <w:szCs w:val="40"/>
        </w:rPr>
      </w:pPr>
    </w:p>
    <w:p w14:paraId="20BD2993" w14:textId="77777777" w:rsidR="00221453" w:rsidRDefault="00221453" w:rsidP="00221453">
      <w:pPr>
        <w:spacing w:after="160" w:line="259" w:lineRule="auto"/>
        <w:rPr>
          <w:rFonts w:ascii="Cambria" w:hAnsi="Cambria"/>
          <w:b/>
          <w:sz w:val="40"/>
          <w:szCs w:val="40"/>
        </w:rPr>
      </w:pPr>
    </w:p>
    <w:p w14:paraId="13F0BDED" w14:textId="77777777" w:rsidR="00221453" w:rsidRDefault="00221453" w:rsidP="00221453">
      <w:pPr>
        <w:spacing w:after="160" w:line="259" w:lineRule="auto"/>
        <w:rPr>
          <w:rFonts w:ascii="Cambria" w:hAnsi="Cambria"/>
          <w:b/>
          <w:sz w:val="40"/>
          <w:szCs w:val="40"/>
        </w:rPr>
      </w:pPr>
    </w:p>
    <w:p w14:paraId="15B2F88E" w14:textId="77777777" w:rsidR="00221453" w:rsidRDefault="00221453" w:rsidP="00221453">
      <w:pPr>
        <w:spacing w:after="160" w:line="259" w:lineRule="auto"/>
        <w:rPr>
          <w:rFonts w:ascii="Cambria" w:hAnsi="Cambria"/>
          <w:b/>
          <w:sz w:val="40"/>
          <w:szCs w:val="40"/>
        </w:rPr>
      </w:pPr>
    </w:p>
    <w:p w14:paraId="0DF60FB1" w14:textId="77777777" w:rsidR="00221453" w:rsidRDefault="00221453" w:rsidP="00221453">
      <w:pPr>
        <w:spacing w:after="160" w:line="259" w:lineRule="auto"/>
        <w:rPr>
          <w:rFonts w:ascii="Cambria" w:hAnsi="Cambria"/>
          <w:b/>
          <w:sz w:val="40"/>
          <w:szCs w:val="40"/>
        </w:rPr>
      </w:pPr>
    </w:p>
    <w:p w14:paraId="33C4C44E" w14:textId="77777777" w:rsidR="00221453" w:rsidRDefault="00221453" w:rsidP="00221453">
      <w:pPr>
        <w:spacing w:after="160" w:line="259" w:lineRule="auto"/>
        <w:rPr>
          <w:rFonts w:ascii="Cambria" w:hAnsi="Cambria"/>
          <w:b/>
          <w:sz w:val="40"/>
          <w:szCs w:val="40"/>
        </w:rPr>
      </w:pPr>
    </w:p>
    <w:p w14:paraId="1EABB75C" w14:textId="77777777" w:rsidR="00221453" w:rsidRDefault="00221453" w:rsidP="00221453">
      <w:pPr>
        <w:spacing w:after="160" w:line="259" w:lineRule="auto"/>
        <w:rPr>
          <w:rFonts w:ascii="Cambria" w:hAnsi="Cambria"/>
          <w:b/>
          <w:sz w:val="40"/>
          <w:szCs w:val="40"/>
        </w:rPr>
      </w:pPr>
    </w:p>
    <w:p w14:paraId="3CA601CA" w14:textId="77777777" w:rsidR="00221453" w:rsidRDefault="00221453" w:rsidP="00221453">
      <w:pPr>
        <w:spacing w:after="160" w:line="259" w:lineRule="auto"/>
        <w:rPr>
          <w:rFonts w:ascii="Cambria" w:hAnsi="Cambria"/>
          <w:b/>
          <w:sz w:val="40"/>
          <w:szCs w:val="40"/>
        </w:rPr>
      </w:pPr>
    </w:p>
    <w:p w14:paraId="479F7328" w14:textId="2F0828CA" w:rsidR="00221453" w:rsidRPr="00112C08" w:rsidRDefault="00A4296C" w:rsidP="00221453">
      <w:pPr>
        <w:spacing w:after="160" w:line="259" w:lineRule="auto"/>
        <w:jc w:val="center"/>
        <w:rPr>
          <w:rFonts w:ascii="Arial" w:hAnsi="Arial" w:cs="Arial"/>
          <w:b/>
          <w:color w:val="12D4BA"/>
          <w:sz w:val="36"/>
          <w:szCs w:val="36"/>
        </w:rPr>
      </w:pPr>
      <w:r>
        <w:rPr>
          <w:rFonts w:ascii="Arial" w:hAnsi="Arial" w:cs="Arial"/>
          <w:b/>
          <w:color w:val="12D4BA"/>
          <w:sz w:val="36"/>
          <w:szCs w:val="36"/>
        </w:rPr>
        <w:t>Investment Policy</w:t>
      </w:r>
    </w:p>
    <w:p w14:paraId="4B119807" w14:textId="77777777" w:rsidR="00221453" w:rsidRDefault="00221453" w:rsidP="00221453">
      <w:pPr>
        <w:spacing w:after="160" w:line="259" w:lineRule="auto"/>
        <w:rPr>
          <w:rFonts w:ascii="Cambria" w:hAnsi="Cambria"/>
          <w:b/>
          <w:sz w:val="40"/>
          <w:szCs w:val="40"/>
        </w:rPr>
      </w:pPr>
    </w:p>
    <w:tbl>
      <w:tblPr>
        <w:tblW w:w="0" w:type="auto"/>
        <w:tblLook w:val="04A0" w:firstRow="1" w:lastRow="0" w:firstColumn="1" w:lastColumn="0" w:noHBand="0" w:noVBand="1"/>
      </w:tblPr>
      <w:tblGrid>
        <w:gridCol w:w="3334"/>
        <w:gridCol w:w="3327"/>
        <w:gridCol w:w="3336"/>
      </w:tblGrid>
      <w:tr w:rsidR="00221453" w:rsidRPr="0000015A" w14:paraId="7AA711F6" w14:textId="77777777" w:rsidTr="00F92C03">
        <w:tc>
          <w:tcPr>
            <w:tcW w:w="3334" w:type="dxa"/>
            <w:shd w:val="clear" w:color="auto" w:fill="auto"/>
          </w:tcPr>
          <w:p w14:paraId="7D021DDB" w14:textId="77777777" w:rsidR="00221453" w:rsidRPr="00CF043F" w:rsidRDefault="00221453" w:rsidP="00F92C03">
            <w:pPr>
              <w:spacing w:after="160" w:line="259" w:lineRule="auto"/>
              <w:rPr>
                <w:rFonts w:ascii="Arial" w:hAnsi="Arial" w:cs="Arial"/>
                <w:b/>
                <w:color w:val="12D4BA"/>
                <w:sz w:val="28"/>
                <w:szCs w:val="28"/>
              </w:rPr>
            </w:pPr>
          </w:p>
        </w:tc>
        <w:tc>
          <w:tcPr>
            <w:tcW w:w="3327" w:type="dxa"/>
            <w:shd w:val="clear" w:color="auto" w:fill="auto"/>
          </w:tcPr>
          <w:p w14:paraId="5540482D" w14:textId="77777777" w:rsidR="00221453" w:rsidRPr="00CF043F" w:rsidRDefault="00221453" w:rsidP="00F92C03">
            <w:pPr>
              <w:spacing w:after="160" w:line="259" w:lineRule="auto"/>
              <w:rPr>
                <w:rFonts w:ascii="Arial" w:hAnsi="Arial" w:cs="Arial"/>
                <w:b/>
                <w:sz w:val="28"/>
                <w:szCs w:val="28"/>
              </w:rPr>
            </w:pPr>
            <w:r w:rsidRPr="00CF043F">
              <w:rPr>
                <w:rFonts w:ascii="Arial" w:hAnsi="Arial" w:cs="Arial"/>
                <w:b/>
                <w:sz w:val="28"/>
                <w:szCs w:val="28"/>
              </w:rPr>
              <w:t>Date</w:t>
            </w:r>
          </w:p>
        </w:tc>
        <w:tc>
          <w:tcPr>
            <w:tcW w:w="3336" w:type="dxa"/>
            <w:shd w:val="clear" w:color="auto" w:fill="auto"/>
          </w:tcPr>
          <w:p w14:paraId="1E1DDCA9" w14:textId="77777777" w:rsidR="00221453" w:rsidRPr="00CF043F" w:rsidRDefault="00221453" w:rsidP="00F92C03">
            <w:pPr>
              <w:spacing w:after="160" w:line="259" w:lineRule="auto"/>
              <w:rPr>
                <w:rFonts w:ascii="Arial" w:hAnsi="Arial" w:cs="Arial"/>
                <w:b/>
                <w:sz w:val="28"/>
                <w:szCs w:val="28"/>
              </w:rPr>
            </w:pPr>
            <w:r w:rsidRPr="00CF043F">
              <w:rPr>
                <w:rFonts w:ascii="Arial" w:hAnsi="Arial" w:cs="Arial"/>
                <w:b/>
                <w:sz w:val="28"/>
                <w:szCs w:val="28"/>
              </w:rPr>
              <w:t>Minute Reference</w:t>
            </w:r>
          </w:p>
        </w:tc>
      </w:tr>
      <w:tr w:rsidR="00221453" w:rsidRPr="0000015A" w14:paraId="4EBEBBA6" w14:textId="77777777" w:rsidTr="00F92C03">
        <w:tc>
          <w:tcPr>
            <w:tcW w:w="3334" w:type="dxa"/>
            <w:shd w:val="clear" w:color="auto" w:fill="auto"/>
          </w:tcPr>
          <w:p w14:paraId="76691103" w14:textId="77777777" w:rsidR="00221453" w:rsidRPr="00CF043F" w:rsidRDefault="00221453" w:rsidP="00F92C03">
            <w:pPr>
              <w:spacing w:after="160" w:line="259" w:lineRule="auto"/>
              <w:rPr>
                <w:rFonts w:ascii="Arial" w:hAnsi="Arial" w:cs="Arial"/>
                <w:b/>
                <w:color w:val="12D4BA"/>
                <w:sz w:val="28"/>
                <w:szCs w:val="28"/>
              </w:rPr>
            </w:pPr>
            <w:r w:rsidRPr="00CF043F">
              <w:rPr>
                <w:rFonts w:ascii="Arial" w:hAnsi="Arial" w:cs="Arial"/>
                <w:b/>
                <w:color w:val="12D4BA"/>
                <w:sz w:val="28"/>
                <w:szCs w:val="28"/>
              </w:rPr>
              <w:t>Adopted:</w:t>
            </w:r>
          </w:p>
        </w:tc>
        <w:tc>
          <w:tcPr>
            <w:tcW w:w="3327" w:type="dxa"/>
            <w:shd w:val="clear" w:color="auto" w:fill="auto"/>
          </w:tcPr>
          <w:p w14:paraId="37BE89AA" w14:textId="7FA2ABEB" w:rsidR="00221453" w:rsidRPr="00CF043F" w:rsidRDefault="00DB582D" w:rsidP="00F92C03">
            <w:pPr>
              <w:spacing w:after="160" w:line="259" w:lineRule="auto"/>
              <w:rPr>
                <w:rFonts w:ascii="Arial" w:hAnsi="Arial" w:cs="Arial"/>
                <w:bCs/>
                <w:sz w:val="28"/>
                <w:szCs w:val="28"/>
              </w:rPr>
            </w:pPr>
            <w:r>
              <w:rPr>
                <w:rFonts w:ascii="Arial" w:hAnsi="Arial" w:cs="Arial"/>
                <w:bCs/>
                <w:sz w:val="28"/>
                <w:szCs w:val="28"/>
              </w:rPr>
              <w:t>6</w:t>
            </w:r>
            <w:r w:rsidRPr="00DB582D">
              <w:rPr>
                <w:rFonts w:ascii="Arial" w:hAnsi="Arial" w:cs="Arial"/>
                <w:bCs/>
                <w:sz w:val="28"/>
                <w:szCs w:val="28"/>
                <w:vertAlign w:val="superscript"/>
              </w:rPr>
              <w:t>th</w:t>
            </w:r>
            <w:r>
              <w:rPr>
                <w:rFonts w:ascii="Arial" w:hAnsi="Arial" w:cs="Arial"/>
                <w:bCs/>
                <w:sz w:val="28"/>
                <w:szCs w:val="28"/>
              </w:rPr>
              <w:t xml:space="preserve"> January 20</w:t>
            </w:r>
            <w:r w:rsidR="009E5B50">
              <w:rPr>
                <w:rFonts w:ascii="Arial" w:hAnsi="Arial" w:cs="Arial"/>
                <w:bCs/>
                <w:sz w:val="28"/>
                <w:szCs w:val="28"/>
              </w:rPr>
              <w:t>21</w:t>
            </w:r>
          </w:p>
        </w:tc>
        <w:tc>
          <w:tcPr>
            <w:tcW w:w="3336" w:type="dxa"/>
            <w:shd w:val="clear" w:color="auto" w:fill="auto"/>
          </w:tcPr>
          <w:p w14:paraId="23B4160D" w14:textId="03DC8C7C" w:rsidR="00221453" w:rsidRPr="00CF043F" w:rsidRDefault="009E5B50" w:rsidP="00F92C03">
            <w:pPr>
              <w:spacing w:after="160" w:line="259" w:lineRule="auto"/>
              <w:rPr>
                <w:rFonts w:ascii="Arial" w:hAnsi="Arial" w:cs="Arial"/>
                <w:bCs/>
                <w:sz w:val="28"/>
                <w:szCs w:val="28"/>
              </w:rPr>
            </w:pPr>
            <w:r>
              <w:rPr>
                <w:rFonts w:ascii="Arial" w:hAnsi="Arial" w:cs="Arial"/>
                <w:bCs/>
                <w:sz w:val="28"/>
                <w:szCs w:val="28"/>
              </w:rPr>
              <w:t>FC20/121(b)</w:t>
            </w:r>
          </w:p>
        </w:tc>
      </w:tr>
      <w:tr w:rsidR="00221453" w:rsidRPr="0000015A" w14:paraId="209033D5" w14:textId="77777777" w:rsidTr="00F92C03">
        <w:tc>
          <w:tcPr>
            <w:tcW w:w="3334" w:type="dxa"/>
            <w:shd w:val="clear" w:color="auto" w:fill="auto"/>
          </w:tcPr>
          <w:p w14:paraId="0631C1B9" w14:textId="77777777" w:rsidR="00221453" w:rsidRPr="00CF043F" w:rsidRDefault="00221453" w:rsidP="00F92C03">
            <w:pPr>
              <w:spacing w:after="160" w:line="259" w:lineRule="auto"/>
              <w:rPr>
                <w:rFonts w:ascii="Arial" w:hAnsi="Arial" w:cs="Arial"/>
                <w:b/>
                <w:color w:val="12D4BA"/>
                <w:sz w:val="28"/>
                <w:szCs w:val="28"/>
              </w:rPr>
            </w:pPr>
            <w:r>
              <w:rPr>
                <w:rFonts w:ascii="Arial" w:hAnsi="Arial" w:cs="Arial"/>
                <w:b/>
                <w:color w:val="12D4BA"/>
                <w:sz w:val="28"/>
                <w:szCs w:val="28"/>
              </w:rPr>
              <w:t>Reviewed:</w:t>
            </w:r>
          </w:p>
        </w:tc>
        <w:tc>
          <w:tcPr>
            <w:tcW w:w="3327" w:type="dxa"/>
            <w:shd w:val="clear" w:color="auto" w:fill="auto"/>
          </w:tcPr>
          <w:p w14:paraId="3DE197B2" w14:textId="68AFBBAE" w:rsidR="00221453" w:rsidRPr="00CF043F" w:rsidRDefault="00AD2B90" w:rsidP="00F92C03">
            <w:pPr>
              <w:spacing w:after="160" w:line="259" w:lineRule="auto"/>
              <w:rPr>
                <w:rFonts w:ascii="Arial" w:hAnsi="Arial" w:cs="Arial"/>
                <w:bCs/>
                <w:sz w:val="28"/>
                <w:szCs w:val="28"/>
              </w:rPr>
            </w:pPr>
            <w:r>
              <w:rPr>
                <w:rFonts w:ascii="Arial" w:hAnsi="Arial" w:cs="Arial"/>
                <w:bCs/>
                <w:sz w:val="28"/>
                <w:szCs w:val="28"/>
              </w:rPr>
              <w:t>1</w:t>
            </w:r>
            <w:r w:rsidRPr="00AD2B90">
              <w:rPr>
                <w:rFonts w:ascii="Arial" w:hAnsi="Arial" w:cs="Arial"/>
                <w:bCs/>
                <w:sz w:val="28"/>
                <w:szCs w:val="28"/>
                <w:vertAlign w:val="superscript"/>
              </w:rPr>
              <w:t>st</w:t>
            </w:r>
            <w:r>
              <w:rPr>
                <w:rFonts w:ascii="Arial" w:hAnsi="Arial" w:cs="Arial"/>
                <w:bCs/>
                <w:sz w:val="28"/>
                <w:szCs w:val="28"/>
              </w:rPr>
              <w:t xml:space="preserve"> February 2023</w:t>
            </w:r>
          </w:p>
        </w:tc>
        <w:tc>
          <w:tcPr>
            <w:tcW w:w="3336" w:type="dxa"/>
            <w:shd w:val="clear" w:color="auto" w:fill="auto"/>
          </w:tcPr>
          <w:p w14:paraId="12855811" w14:textId="70CB7F1B" w:rsidR="00221453" w:rsidRPr="00CF043F" w:rsidRDefault="00221453" w:rsidP="00F92C03">
            <w:pPr>
              <w:spacing w:after="160" w:line="259" w:lineRule="auto"/>
              <w:rPr>
                <w:rFonts w:ascii="Arial" w:hAnsi="Arial" w:cs="Arial"/>
                <w:bCs/>
                <w:sz w:val="28"/>
                <w:szCs w:val="28"/>
              </w:rPr>
            </w:pPr>
          </w:p>
        </w:tc>
      </w:tr>
      <w:tr w:rsidR="00221453" w:rsidRPr="0000015A" w14:paraId="5ACB0738" w14:textId="77777777" w:rsidTr="00F92C03">
        <w:tc>
          <w:tcPr>
            <w:tcW w:w="3334" w:type="dxa"/>
            <w:shd w:val="clear" w:color="auto" w:fill="auto"/>
          </w:tcPr>
          <w:p w14:paraId="572139EF" w14:textId="77777777" w:rsidR="00221453" w:rsidRPr="00CF043F" w:rsidRDefault="00221453" w:rsidP="00F92C03">
            <w:pPr>
              <w:spacing w:after="160" w:line="259" w:lineRule="auto"/>
              <w:rPr>
                <w:rFonts w:ascii="Arial" w:hAnsi="Arial" w:cs="Arial"/>
                <w:b/>
                <w:color w:val="12D4BA"/>
                <w:sz w:val="28"/>
                <w:szCs w:val="28"/>
              </w:rPr>
            </w:pPr>
            <w:r w:rsidRPr="00CF043F">
              <w:rPr>
                <w:rFonts w:ascii="Arial" w:hAnsi="Arial" w:cs="Arial"/>
                <w:b/>
                <w:color w:val="12D4BA"/>
                <w:sz w:val="28"/>
                <w:szCs w:val="28"/>
              </w:rPr>
              <w:t>Next Review:</w:t>
            </w:r>
          </w:p>
        </w:tc>
        <w:tc>
          <w:tcPr>
            <w:tcW w:w="3327" w:type="dxa"/>
            <w:shd w:val="clear" w:color="auto" w:fill="auto"/>
          </w:tcPr>
          <w:p w14:paraId="30B87193" w14:textId="0659C6FF" w:rsidR="00221453" w:rsidRPr="00CF043F" w:rsidRDefault="00AD2B90" w:rsidP="00F92C03">
            <w:pPr>
              <w:spacing w:after="160" w:line="259" w:lineRule="auto"/>
              <w:rPr>
                <w:rFonts w:ascii="Arial" w:hAnsi="Arial" w:cs="Arial"/>
                <w:bCs/>
                <w:sz w:val="28"/>
                <w:szCs w:val="28"/>
              </w:rPr>
            </w:pPr>
            <w:r>
              <w:rPr>
                <w:rFonts w:ascii="Arial" w:hAnsi="Arial" w:cs="Arial"/>
                <w:bCs/>
                <w:sz w:val="28"/>
                <w:szCs w:val="28"/>
              </w:rPr>
              <w:t>February 2024</w:t>
            </w:r>
          </w:p>
        </w:tc>
        <w:tc>
          <w:tcPr>
            <w:tcW w:w="3336" w:type="dxa"/>
            <w:shd w:val="clear" w:color="auto" w:fill="auto"/>
          </w:tcPr>
          <w:p w14:paraId="2EE9CF86" w14:textId="77777777" w:rsidR="00221453" w:rsidRPr="00CF043F" w:rsidRDefault="00221453" w:rsidP="00F92C03">
            <w:pPr>
              <w:spacing w:after="160" w:line="259" w:lineRule="auto"/>
              <w:rPr>
                <w:rFonts w:ascii="Arial" w:hAnsi="Arial" w:cs="Arial"/>
                <w:bCs/>
                <w:sz w:val="28"/>
                <w:szCs w:val="28"/>
              </w:rPr>
            </w:pPr>
          </w:p>
        </w:tc>
      </w:tr>
    </w:tbl>
    <w:p w14:paraId="7C9C657A" w14:textId="75D0AE31" w:rsidR="000A3DC7" w:rsidRDefault="000A3DC7" w:rsidP="000A3DC7">
      <w:pPr>
        <w:pStyle w:val="Subtitle"/>
        <w:jc w:val="left"/>
        <w:rPr>
          <w:rFonts w:ascii="Arial Narrow" w:hAnsi="Arial Narrow"/>
          <w:sz w:val="22"/>
          <w:szCs w:val="22"/>
        </w:rPr>
      </w:pPr>
    </w:p>
    <w:p w14:paraId="37A81583" w14:textId="77777777" w:rsidR="00BE4254" w:rsidRDefault="00BE4254">
      <w:pPr>
        <w:spacing w:after="160" w:line="259" w:lineRule="auto"/>
        <w:rPr>
          <w:rFonts w:cs="Arial"/>
          <w:b/>
          <w:bCs/>
          <w:color w:val="12D4BA"/>
          <w:sz w:val="36"/>
          <w:szCs w:val="36"/>
          <w:u w:val="single"/>
        </w:rPr>
      </w:pPr>
      <w:r>
        <w:rPr>
          <w:rFonts w:cs="Arial"/>
          <w:b/>
          <w:bCs/>
          <w:color w:val="12D4BA"/>
          <w:sz w:val="36"/>
          <w:szCs w:val="36"/>
          <w:u w:val="single"/>
        </w:rPr>
        <w:br w:type="page"/>
      </w:r>
    </w:p>
    <w:p w14:paraId="52F1F268" w14:textId="7D2199B6" w:rsidR="00BE4254" w:rsidRPr="00BE4254" w:rsidRDefault="00BE4254" w:rsidP="00BE4254">
      <w:pPr>
        <w:spacing w:after="240"/>
        <w:ind w:left="851" w:right="2126"/>
        <w:jc w:val="center"/>
        <w:rPr>
          <w:rFonts w:ascii="Arial" w:hAnsi="Arial" w:cs="Arial"/>
          <w:b/>
          <w:bCs/>
          <w:color w:val="12D4BA"/>
          <w:sz w:val="36"/>
          <w:szCs w:val="36"/>
          <w:u w:val="single"/>
        </w:rPr>
      </w:pPr>
      <w:r w:rsidRPr="00BE4254">
        <w:rPr>
          <w:rFonts w:ascii="Arial" w:hAnsi="Arial" w:cs="Arial"/>
          <w:noProof/>
        </w:rPr>
        <w:lastRenderedPageBreak/>
        <w:drawing>
          <wp:anchor distT="0" distB="0" distL="114300" distR="114300" simplePos="0" relativeHeight="251657728" behindDoc="1" locked="0" layoutInCell="1" allowOverlap="1" wp14:anchorId="3B34D52C" wp14:editId="7C66A3BD">
            <wp:simplePos x="0" y="0"/>
            <wp:positionH relativeFrom="margin">
              <wp:posOffset>5238750</wp:posOffset>
            </wp:positionH>
            <wp:positionV relativeFrom="paragraph">
              <wp:posOffset>-121285</wp:posOffset>
            </wp:positionV>
            <wp:extent cx="1409065" cy="1310640"/>
            <wp:effectExtent l="0" t="0" r="635" b="3810"/>
            <wp:wrapNone/>
            <wp:docPr id="3" name="Picture 3"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1#y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065" cy="1310640"/>
                    </a:xfrm>
                    <a:prstGeom prst="rect">
                      <a:avLst/>
                    </a:prstGeom>
                    <a:noFill/>
                  </pic:spPr>
                </pic:pic>
              </a:graphicData>
            </a:graphic>
            <wp14:sizeRelH relativeFrom="page">
              <wp14:pctWidth>0</wp14:pctWidth>
            </wp14:sizeRelH>
            <wp14:sizeRelV relativeFrom="page">
              <wp14:pctHeight>0</wp14:pctHeight>
            </wp14:sizeRelV>
          </wp:anchor>
        </w:drawing>
      </w:r>
      <w:r w:rsidRPr="00BE4254">
        <w:rPr>
          <w:rFonts w:ascii="Arial" w:hAnsi="Arial" w:cs="Arial"/>
          <w:noProof/>
        </w:rPr>
        <w:drawing>
          <wp:anchor distT="0" distB="0" distL="114300" distR="114300" simplePos="0" relativeHeight="251661824" behindDoc="1" locked="0" layoutInCell="1" allowOverlap="1" wp14:anchorId="49FC8C3E" wp14:editId="17458F91">
            <wp:simplePos x="0" y="0"/>
            <wp:positionH relativeFrom="column">
              <wp:posOffset>-447040</wp:posOffset>
            </wp:positionH>
            <wp:positionV relativeFrom="paragraph">
              <wp:posOffset>-75565</wp:posOffset>
            </wp:positionV>
            <wp:extent cx="1446396" cy="601980"/>
            <wp:effectExtent l="0" t="0" r="1905" b="7620"/>
            <wp:wrapNone/>
            <wp:docPr id="9" name="Picture 9" descr="P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1#y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6396"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4254">
        <w:rPr>
          <w:rFonts w:ascii="Arial" w:hAnsi="Arial" w:cs="Arial"/>
          <w:b/>
          <w:bCs/>
          <w:color w:val="12D4BA"/>
          <w:sz w:val="36"/>
          <w:szCs w:val="36"/>
          <w:u w:val="single"/>
        </w:rPr>
        <w:t>CANEWDON PARISH COUNCIL</w:t>
      </w:r>
    </w:p>
    <w:p w14:paraId="26ED7220" w14:textId="77777777" w:rsidR="00BE4254" w:rsidRPr="00BE4254" w:rsidRDefault="00BE4254" w:rsidP="00BE4254">
      <w:pPr>
        <w:ind w:left="709" w:right="2126"/>
        <w:jc w:val="center"/>
        <w:rPr>
          <w:rFonts w:ascii="Arial" w:hAnsi="Arial" w:cs="Arial"/>
          <w:b/>
          <w:bCs/>
          <w:sz w:val="28"/>
          <w:szCs w:val="28"/>
        </w:rPr>
      </w:pPr>
      <w:r w:rsidRPr="00BE4254">
        <w:rPr>
          <w:rFonts w:ascii="Arial" w:hAnsi="Arial" w:cs="Arial"/>
          <w:b/>
          <w:bCs/>
          <w:sz w:val="28"/>
          <w:szCs w:val="28"/>
        </w:rPr>
        <w:t>PO Box 6126, Rochford, Essex, SS1 9YG</w:t>
      </w:r>
    </w:p>
    <w:p w14:paraId="7E3FF024" w14:textId="77777777" w:rsidR="00BE4254" w:rsidRPr="00BE4254" w:rsidRDefault="00000000" w:rsidP="00BE4254">
      <w:pPr>
        <w:ind w:left="709" w:right="2126"/>
        <w:jc w:val="center"/>
        <w:rPr>
          <w:rFonts w:ascii="Arial" w:hAnsi="Arial" w:cs="Arial"/>
          <w:b/>
          <w:bCs/>
          <w:sz w:val="28"/>
          <w:szCs w:val="28"/>
        </w:rPr>
      </w:pPr>
      <w:hyperlink r:id="rId12" w:history="1">
        <w:r w:rsidR="00BE4254" w:rsidRPr="00BE4254">
          <w:rPr>
            <w:rStyle w:val="Hyperlink"/>
            <w:rFonts w:ascii="Arial" w:hAnsi="Arial" w:cs="Arial"/>
            <w:b/>
            <w:bCs/>
            <w:sz w:val="28"/>
            <w:szCs w:val="28"/>
          </w:rPr>
          <w:t>www.canewdonparishcouncil.gov.uk</w:t>
        </w:r>
      </w:hyperlink>
    </w:p>
    <w:p w14:paraId="75EC8FF5" w14:textId="77777777" w:rsidR="00BE4254" w:rsidRPr="00BE4254" w:rsidRDefault="00BE4254" w:rsidP="00BE4254">
      <w:pPr>
        <w:ind w:left="709" w:right="2126"/>
        <w:jc w:val="center"/>
        <w:rPr>
          <w:rFonts w:ascii="Arial" w:hAnsi="Arial" w:cs="Arial"/>
          <w:b/>
          <w:bCs/>
          <w:sz w:val="28"/>
          <w:szCs w:val="28"/>
        </w:rPr>
      </w:pPr>
      <w:r w:rsidRPr="00BE4254">
        <w:rPr>
          <w:rFonts w:ascii="Arial" w:hAnsi="Arial" w:cs="Arial"/>
          <w:b/>
          <w:bCs/>
          <w:sz w:val="28"/>
          <w:szCs w:val="28"/>
        </w:rPr>
        <w:t>07596 747873</w:t>
      </w:r>
    </w:p>
    <w:p w14:paraId="0F5BA603" w14:textId="77777777" w:rsidR="00BE4254" w:rsidRDefault="00BE4254" w:rsidP="00BE4254">
      <w:pPr>
        <w:pBdr>
          <w:bottom w:val="single" w:sz="18" w:space="1" w:color="auto"/>
        </w:pBdr>
        <w:ind w:left="567" w:right="2126"/>
        <w:jc w:val="center"/>
        <w:rPr>
          <w:rFonts w:cs="Arial"/>
          <w:b/>
          <w:bCs/>
          <w:sz w:val="18"/>
          <w:szCs w:val="18"/>
        </w:rPr>
      </w:pPr>
    </w:p>
    <w:p w14:paraId="7C9C657B" w14:textId="2758EC9A" w:rsidR="00B86BB7" w:rsidRPr="000A3DC7" w:rsidRDefault="00B86BB7" w:rsidP="00A4296C">
      <w:pPr>
        <w:spacing w:before="240"/>
        <w:jc w:val="center"/>
        <w:rPr>
          <w:rFonts w:ascii="Arial" w:hAnsi="Arial" w:cs="Arial"/>
        </w:rPr>
      </w:pPr>
      <w:r>
        <w:rPr>
          <w:rFonts w:ascii="Arial" w:hAnsi="Arial" w:cs="Arial"/>
          <w:b/>
          <w:sz w:val="32"/>
          <w:szCs w:val="32"/>
        </w:rPr>
        <w:t>Investment Policy</w:t>
      </w:r>
    </w:p>
    <w:p w14:paraId="7C9C657C" w14:textId="19EE403B" w:rsidR="000A3DC7" w:rsidRPr="000A3DC7" w:rsidRDefault="000A3DC7" w:rsidP="000A3DC7">
      <w:pPr>
        <w:jc w:val="center"/>
        <w:rPr>
          <w:rFonts w:ascii="Arial" w:hAnsi="Arial" w:cs="Arial"/>
        </w:rPr>
      </w:pPr>
    </w:p>
    <w:p w14:paraId="7C9C657D" w14:textId="77777777" w:rsidR="000A3DC7" w:rsidRPr="000A3DC7" w:rsidRDefault="000A3DC7">
      <w:pPr>
        <w:rPr>
          <w:rFonts w:ascii="Arial" w:hAnsi="Arial" w:cs="Arial"/>
        </w:rPr>
      </w:pPr>
    </w:p>
    <w:p w14:paraId="3386EFB7" w14:textId="77946E9B" w:rsidR="008C2874" w:rsidRPr="000E32DC" w:rsidRDefault="008C2874" w:rsidP="008C2874">
      <w:pPr>
        <w:rPr>
          <w:rFonts w:ascii="Arial" w:hAnsi="Arial" w:cs="Arial"/>
          <w:b/>
          <w:u w:val="single"/>
        </w:rPr>
      </w:pPr>
      <w:r w:rsidRPr="000E32DC">
        <w:rPr>
          <w:rFonts w:ascii="Arial" w:hAnsi="Arial" w:cs="Arial"/>
          <w:b/>
          <w:u w:val="single"/>
        </w:rPr>
        <w:t>Introduction</w:t>
      </w:r>
    </w:p>
    <w:p w14:paraId="14642CFE" w14:textId="77777777" w:rsidR="00204375" w:rsidRPr="008C2874" w:rsidRDefault="00204375" w:rsidP="008C2874">
      <w:pPr>
        <w:rPr>
          <w:rFonts w:ascii="Arial" w:hAnsi="Arial" w:cs="Arial"/>
          <w:b/>
        </w:rPr>
      </w:pPr>
    </w:p>
    <w:p w14:paraId="5AA71439" w14:textId="51FED51E" w:rsidR="008C2874" w:rsidRDefault="008C2874" w:rsidP="00CF7EC3">
      <w:pPr>
        <w:spacing w:line="360" w:lineRule="auto"/>
        <w:rPr>
          <w:rFonts w:ascii="Arial" w:hAnsi="Arial" w:cs="Arial"/>
        </w:rPr>
      </w:pPr>
      <w:r w:rsidRPr="008C2874">
        <w:rPr>
          <w:rFonts w:ascii="Arial" w:hAnsi="Arial" w:cs="Arial"/>
        </w:rPr>
        <w:t>The Parish Council acknowledges the importance of investing prudently the temporarily surplus funds held on behalf of the Community.</w:t>
      </w:r>
    </w:p>
    <w:p w14:paraId="3842BC70" w14:textId="77777777" w:rsidR="008C2874" w:rsidRPr="008C2874" w:rsidRDefault="008C2874" w:rsidP="008C2874">
      <w:pPr>
        <w:rPr>
          <w:rFonts w:ascii="Arial" w:hAnsi="Arial" w:cs="Arial"/>
        </w:rPr>
      </w:pPr>
    </w:p>
    <w:p w14:paraId="56BFB941" w14:textId="2C65B5E7" w:rsidR="008C2874" w:rsidRDefault="008C2874" w:rsidP="00CF7EC3">
      <w:pPr>
        <w:spacing w:line="360" w:lineRule="auto"/>
        <w:rPr>
          <w:rFonts w:ascii="Arial" w:hAnsi="Arial" w:cs="Arial"/>
        </w:rPr>
      </w:pPr>
      <w:r w:rsidRPr="008C2874">
        <w:rPr>
          <w:rFonts w:ascii="Arial" w:hAnsi="Arial" w:cs="Arial"/>
        </w:rPr>
        <w:t xml:space="preserve">The Parish Council is required under Section 15(1) of the Local Government Act 2011 to have regard to such Guidance as issued by the Secretary of State. </w:t>
      </w:r>
    </w:p>
    <w:p w14:paraId="55001E15" w14:textId="77777777" w:rsidR="002331FA" w:rsidRPr="008C2874" w:rsidRDefault="002331FA" w:rsidP="008C2874">
      <w:pPr>
        <w:rPr>
          <w:rFonts w:ascii="Arial" w:hAnsi="Arial" w:cs="Arial"/>
        </w:rPr>
      </w:pPr>
    </w:p>
    <w:p w14:paraId="1432D7B2" w14:textId="4EAA7041" w:rsidR="008C2874" w:rsidRDefault="00020CE7" w:rsidP="00CF7EC3">
      <w:pPr>
        <w:spacing w:line="360" w:lineRule="auto"/>
        <w:rPr>
          <w:rFonts w:ascii="Arial" w:hAnsi="Arial" w:cs="Arial"/>
        </w:rPr>
      </w:pPr>
      <w:r>
        <w:rPr>
          <w:rFonts w:ascii="Arial" w:hAnsi="Arial" w:cs="Arial"/>
        </w:rPr>
        <w:t xml:space="preserve">The Ministry of Housing, Communities and Local Government </w:t>
      </w:r>
      <w:r w:rsidR="00C234CB">
        <w:rPr>
          <w:rFonts w:ascii="Arial" w:hAnsi="Arial" w:cs="Arial"/>
        </w:rPr>
        <w:t>statutory guidance, Capita</w:t>
      </w:r>
      <w:r w:rsidR="00204375">
        <w:rPr>
          <w:rFonts w:ascii="Arial" w:hAnsi="Arial" w:cs="Arial"/>
        </w:rPr>
        <w:t>l</w:t>
      </w:r>
      <w:r w:rsidR="00C234CB">
        <w:rPr>
          <w:rFonts w:ascii="Arial" w:hAnsi="Arial" w:cs="Arial"/>
        </w:rPr>
        <w:t xml:space="preserve"> Finance: Guidance </w:t>
      </w:r>
      <w:r w:rsidR="00204375">
        <w:rPr>
          <w:rFonts w:ascii="Arial" w:hAnsi="Arial" w:cs="Arial"/>
        </w:rPr>
        <w:t>on Local Government Investments (3</w:t>
      </w:r>
      <w:r w:rsidR="00204375" w:rsidRPr="00204375">
        <w:rPr>
          <w:rFonts w:ascii="Arial" w:hAnsi="Arial" w:cs="Arial"/>
          <w:vertAlign w:val="superscript"/>
        </w:rPr>
        <w:t>rd</w:t>
      </w:r>
      <w:r w:rsidR="00204375">
        <w:rPr>
          <w:rFonts w:ascii="Arial" w:hAnsi="Arial" w:cs="Arial"/>
        </w:rPr>
        <w:t xml:space="preserve"> edition)</w:t>
      </w:r>
      <w:r w:rsidR="008C2874" w:rsidRPr="008C2874">
        <w:rPr>
          <w:rFonts w:ascii="Arial" w:hAnsi="Arial" w:cs="Arial"/>
        </w:rPr>
        <w:t xml:space="preserve"> came into force on 1</w:t>
      </w:r>
      <w:r w:rsidR="008C2874" w:rsidRPr="008C2874">
        <w:rPr>
          <w:rFonts w:ascii="Arial" w:hAnsi="Arial" w:cs="Arial"/>
          <w:vertAlign w:val="superscript"/>
        </w:rPr>
        <w:t>st</w:t>
      </w:r>
      <w:r w:rsidR="008C2874" w:rsidRPr="008C2874">
        <w:rPr>
          <w:rFonts w:ascii="Arial" w:hAnsi="Arial" w:cs="Arial"/>
        </w:rPr>
        <w:t xml:space="preserve"> April, 2010.</w:t>
      </w:r>
    </w:p>
    <w:p w14:paraId="05BB161F" w14:textId="77777777" w:rsidR="002331FA" w:rsidRPr="008C2874" w:rsidRDefault="002331FA" w:rsidP="008C2874">
      <w:pPr>
        <w:rPr>
          <w:rFonts w:ascii="Arial" w:hAnsi="Arial" w:cs="Arial"/>
        </w:rPr>
      </w:pPr>
    </w:p>
    <w:p w14:paraId="7D897C69" w14:textId="7BA14401" w:rsidR="008C2874" w:rsidRDefault="008C2874" w:rsidP="008C2874">
      <w:pPr>
        <w:rPr>
          <w:rFonts w:ascii="Arial" w:hAnsi="Arial" w:cs="Arial"/>
        </w:rPr>
      </w:pPr>
      <w:r w:rsidRPr="008C2874">
        <w:rPr>
          <w:rFonts w:ascii="Arial" w:hAnsi="Arial" w:cs="Arial"/>
        </w:rPr>
        <w:t>The Guidance Note makes distinction between investments that are:</w:t>
      </w:r>
    </w:p>
    <w:p w14:paraId="74BAC4C2" w14:textId="77777777" w:rsidR="00204375" w:rsidRPr="008C2874" w:rsidRDefault="00204375" w:rsidP="008C2874">
      <w:pPr>
        <w:rPr>
          <w:rFonts w:ascii="Arial" w:hAnsi="Arial" w:cs="Arial"/>
        </w:rPr>
      </w:pPr>
    </w:p>
    <w:p w14:paraId="1E76C38E" w14:textId="3C1B43FB" w:rsidR="008C2874" w:rsidRDefault="008C2874" w:rsidP="008C2874">
      <w:pPr>
        <w:pStyle w:val="ListParagraph"/>
        <w:numPr>
          <w:ilvl w:val="0"/>
          <w:numId w:val="6"/>
        </w:numPr>
        <w:spacing w:after="160" w:line="259" w:lineRule="auto"/>
        <w:rPr>
          <w:rFonts w:ascii="Arial" w:hAnsi="Arial" w:cs="Arial"/>
        </w:rPr>
      </w:pPr>
      <w:r w:rsidRPr="008C2874">
        <w:rPr>
          <w:rFonts w:ascii="Arial" w:hAnsi="Arial" w:cs="Arial"/>
        </w:rPr>
        <w:t>High Security and high liquidity (specified investments) and</w:t>
      </w:r>
    </w:p>
    <w:p w14:paraId="7D0BD79C" w14:textId="77777777" w:rsidR="00204375" w:rsidRPr="008C2874" w:rsidRDefault="00204375" w:rsidP="00204375">
      <w:pPr>
        <w:pStyle w:val="ListParagraph"/>
        <w:spacing w:after="160" w:line="259" w:lineRule="auto"/>
        <w:rPr>
          <w:rFonts w:ascii="Arial" w:hAnsi="Arial" w:cs="Arial"/>
        </w:rPr>
      </w:pPr>
    </w:p>
    <w:p w14:paraId="4D38D85B" w14:textId="77777777" w:rsidR="008C2874" w:rsidRPr="008C2874" w:rsidRDefault="008C2874" w:rsidP="008C2874">
      <w:pPr>
        <w:pStyle w:val="ListParagraph"/>
        <w:numPr>
          <w:ilvl w:val="0"/>
          <w:numId w:val="6"/>
        </w:numPr>
        <w:spacing w:after="160" w:line="259" w:lineRule="auto"/>
        <w:rPr>
          <w:rFonts w:ascii="Arial" w:hAnsi="Arial" w:cs="Arial"/>
        </w:rPr>
      </w:pPr>
      <w:r w:rsidRPr="008C2874">
        <w:rPr>
          <w:rFonts w:ascii="Arial" w:hAnsi="Arial" w:cs="Arial"/>
        </w:rPr>
        <w:t>Those with potentially greater risk and lower liquidity (non specified investments)</w:t>
      </w:r>
    </w:p>
    <w:p w14:paraId="18D0F6A0" w14:textId="35D330CD" w:rsidR="008C2874" w:rsidRDefault="008C2874" w:rsidP="006238BD">
      <w:pPr>
        <w:spacing w:before="240" w:line="360" w:lineRule="auto"/>
        <w:rPr>
          <w:rFonts w:ascii="Arial" w:hAnsi="Arial" w:cs="Arial"/>
        </w:rPr>
      </w:pPr>
      <w:r w:rsidRPr="008C2874">
        <w:rPr>
          <w:rFonts w:ascii="Arial" w:hAnsi="Arial" w:cs="Arial"/>
        </w:rPr>
        <w:t xml:space="preserve">Where </w:t>
      </w:r>
      <w:r w:rsidR="0067447E">
        <w:rPr>
          <w:rFonts w:ascii="Arial" w:hAnsi="Arial" w:cs="Arial"/>
        </w:rPr>
        <w:t>the</w:t>
      </w:r>
      <w:r w:rsidRPr="008C2874">
        <w:rPr>
          <w:rFonts w:ascii="Arial" w:hAnsi="Arial" w:cs="Arial"/>
        </w:rPr>
        <w:t xml:space="preserve"> Parish Council expects its investments at any time during the financial year to exceed £100,000 but no</w:t>
      </w:r>
      <w:r w:rsidR="00204375">
        <w:rPr>
          <w:rFonts w:ascii="Arial" w:hAnsi="Arial" w:cs="Arial"/>
        </w:rPr>
        <w:t>t</w:t>
      </w:r>
      <w:r w:rsidRPr="008C2874">
        <w:rPr>
          <w:rFonts w:ascii="Arial" w:hAnsi="Arial" w:cs="Arial"/>
        </w:rPr>
        <w:t xml:space="preserve"> £500,000 it should decide on the extent, if any, to which it would be reasonable to have regard to the Investment Guidance Note in relation to that year.  </w:t>
      </w:r>
    </w:p>
    <w:p w14:paraId="3D7CCB6A" w14:textId="77777777" w:rsidR="00204375" w:rsidRPr="008C2874" w:rsidRDefault="00204375" w:rsidP="008C2874">
      <w:pPr>
        <w:rPr>
          <w:rFonts w:ascii="Arial" w:hAnsi="Arial" w:cs="Arial"/>
        </w:rPr>
      </w:pPr>
    </w:p>
    <w:p w14:paraId="23920A41" w14:textId="621EC957" w:rsidR="008C2874" w:rsidRPr="00ED1651" w:rsidRDefault="008C2874" w:rsidP="008C2874">
      <w:pPr>
        <w:rPr>
          <w:rFonts w:ascii="Arial" w:hAnsi="Arial" w:cs="Arial"/>
          <w:b/>
          <w:u w:val="single"/>
        </w:rPr>
      </w:pPr>
      <w:r w:rsidRPr="00ED1651">
        <w:rPr>
          <w:rFonts w:ascii="Arial" w:hAnsi="Arial" w:cs="Arial"/>
          <w:b/>
          <w:u w:val="single"/>
        </w:rPr>
        <w:t>Investment Objectives</w:t>
      </w:r>
    </w:p>
    <w:p w14:paraId="521EE9DE" w14:textId="77777777" w:rsidR="00204375" w:rsidRPr="008C2874" w:rsidRDefault="00204375" w:rsidP="008C2874">
      <w:pPr>
        <w:rPr>
          <w:rFonts w:ascii="Arial" w:hAnsi="Arial" w:cs="Arial"/>
          <w:b/>
        </w:rPr>
      </w:pPr>
    </w:p>
    <w:p w14:paraId="34A026F2" w14:textId="062A8B35" w:rsidR="008C2874" w:rsidRDefault="008C2874" w:rsidP="00CF7EC3">
      <w:pPr>
        <w:spacing w:line="360" w:lineRule="auto"/>
        <w:rPr>
          <w:rFonts w:ascii="Arial" w:hAnsi="Arial" w:cs="Arial"/>
        </w:rPr>
      </w:pPr>
      <w:r w:rsidRPr="008C2874">
        <w:rPr>
          <w:rFonts w:ascii="Arial" w:hAnsi="Arial" w:cs="Arial"/>
        </w:rPr>
        <w:t>The Council’s investment objectives are the security of reserves and liquidity of its investments.  The Council will aim to achieve the optimum return on its investments commensurate with proper levels of security and liquidity.</w:t>
      </w:r>
    </w:p>
    <w:p w14:paraId="43472161" w14:textId="77777777" w:rsidR="00944445" w:rsidRPr="008C2874" w:rsidRDefault="00944445" w:rsidP="008C2874">
      <w:pPr>
        <w:rPr>
          <w:rFonts w:ascii="Arial" w:hAnsi="Arial" w:cs="Arial"/>
        </w:rPr>
      </w:pPr>
    </w:p>
    <w:p w14:paraId="7F02E8C1" w14:textId="1AD853B7" w:rsidR="008C2874" w:rsidRDefault="008C2874" w:rsidP="008C2874">
      <w:pPr>
        <w:rPr>
          <w:rFonts w:ascii="Arial" w:hAnsi="Arial" w:cs="Arial"/>
        </w:rPr>
      </w:pPr>
      <w:r w:rsidRPr="008C2874">
        <w:rPr>
          <w:rFonts w:ascii="Arial" w:hAnsi="Arial" w:cs="Arial"/>
        </w:rPr>
        <w:t>All investments will be made in Sterling.</w:t>
      </w:r>
    </w:p>
    <w:p w14:paraId="78106646" w14:textId="77777777" w:rsidR="00944445" w:rsidRPr="008C2874" w:rsidRDefault="00944445" w:rsidP="008C2874">
      <w:pPr>
        <w:rPr>
          <w:rFonts w:ascii="Arial" w:hAnsi="Arial" w:cs="Arial"/>
        </w:rPr>
      </w:pPr>
    </w:p>
    <w:p w14:paraId="2DA821F6" w14:textId="2830809F" w:rsidR="008C2874" w:rsidRDefault="008C2874" w:rsidP="00CF7EC3">
      <w:pPr>
        <w:spacing w:line="360" w:lineRule="auto"/>
        <w:rPr>
          <w:rFonts w:ascii="Arial" w:hAnsi="Arial" w:cs="Arial"/>
        </w:rPr>
      </w:pPr>
      <w:r w:rsidRPr="008C2874">
        <w:rPr>
          <w:rFonts w:ascii="Arial" w:hAnsi="Arial" w:cs="Arial"/>
        </w:rPr>
        <w:t>The Department of Communities and Local Government maintains that borrowing of monies purely to invest, or to lend and make return is unlawful and the Council may not engage in such activity.</w:t>
      </w:r>
    </w:p>
    <w:p w14:paraId="67C30A88" w14:textId="77777777" w:rsidR="00944445" w:rsidRPr="008C2874" w:rsidRDefault="00944445" w:rsidP="008C2874">
      <w:pPr>
        <w:rPr>
          <w:rFonts w:ascii="Arial" w:hAnsi="Arial" w:cs="Arial"/>
        </w:rPr>
      </w:pPr>
    </w:p>
    <w:p w14:paraId="262B98EF" w14:textId="33D1CDD6" w:rsidR="008C2874" w:rsidRDefault="008C2874" w:rsidP="00CF7EC3">
      <w:pPr>
        <w:spacing w:line="360" w:lineRule="auto"/>
        <w:rPr>
          <w:rFonts w:ascii="Arial" w:hAnsi="Arial" w:cs="Arial"/>
        </w:rPr>
      </w:pPr>
      <w:r w:rsidRPr="008C2874">
        <w:rPr>
          <w:rFonts w:ascii="Arial" w:hAnsi="Arial" w:cs="Arial"/>
        </w:rPr>
        <w:t>If external investment managers are used</w:t>
      </w:r>
      <w:r w:rsidR="00581CC8">
        <w:rPr>
          <w:rFonts w:ascii="Arial" w:hAnsi="Arial" w:cs="Arial"/>
        </w:rPr>
        <w:t>,</w:t>
      </w:r>
      <w:r w:rsidRPr="008C2874">
        <w:rPr>
          <w:rFonts w:ascii="Arial" w:hAnsi="Arial" w:cs="Arial"/>
        </w:rPr>
        <w:t xml:space="preserve"> they will be contractually required </w:t>
      </w:r>
      <w:r w:rsidR="00581CC8">
        <w:rPr>
          <w:rFonts w:ascii="Arial" w:hAnsi="Arial" w:cs="Arial"/>
        </w:rPr>
        <w:t>t</w:t>
      </w:r>
      <w:r w:rsidRPr="008C2874">
        <w:rPr>
          <w:rFonts w:ascii="Arial" w:hAnsi="Arial" w:cs="Arial"/>
        </w:rPr>
        <w:t>o comply with the policy.</w:t>
      </w:r>
    </w:p>
    <w:p w14:paraId="55EA77F5" w14:textId="77777777" w:rsidR="00944445" w:rsidRPr="008C2874" w:rsidRDefault="00944445" w:rsidP="008C2874">
      <w:pPr>
        <w:rPr>
          <w:rFonts w:ascii="Arial" w:hAnsi="Arial" w:cs="Arial"/>
        </w:rPr>
      </w:pPr>
    </w:p>
    <w:p w14:paraId="7196D5FF" w14:textId="1F08D0B7" w:rsidR="008C2874" w:rsidRDefault="008C2874" w:rsidP="008C2874">
      <w:pPr>
        <w:rPr>
          <w:rFonts w:ascii="Arial" w:hAnsi="Arial" w:cs="Arial"/>
        </w:rPr>
      </w:pPr>
      <w:r w:rsidRPr="008C2874">
        <w:rPr>
          <w:rFonts w:ascii="Arial" w:hAnsi="Arial" w:cs="Arial"/>
        </w:rPr>
        <w:t>All loans can only be made through the Public Works Loan Board.</w:t>
      </w:r>
    </w:p>
    <w:p w14:paraId="303BC6BC" w14:textId="77777777" w:rsidR="00944445" w:rsidRPr="008C2874" w:rsidRDefault="00944445" w:rsidP="008C2874">
      <w:pPr>
        <w:rPr>
          <w:rFonts w:ascii="Arial" w:hAnsi="Arial" w:cs="Arial"/>
        </w:rPr>
      </w:pPr>
    </w:p>
    <w:p w14:paraId="429C9B49" w14:textId="0043F45D" w:rsidR="008C2874" w:rsidRPr="00ED1651" w:rsidRDefault="008C2874" w:rsidP="008C2874">
      <w:pPr>
        <w:rPr>
          <w:rFonts w:ascii="Arial" w:hAnsi="Arial" w:cs="Arial"/>
          <w:b/>
          <w:u w:val="single"/>
        </w:rPr>
      </w:pPr>
      <w:r w:rsidRPr="00ED1651">
        <w:rPr>
          <w:rFonts w:ascii="Arial" w:hAnsi="Arial" w:cs="Arial"/>
          <w:b/>
          <w:u w:val="single"/>
        </w:rPr>
        <w:t>Specified Investments</w:t>
      </w:r>
    </w:p>
    <w:p w14:paraId="4A025400" w14:textId="77777777" w:rsidR="00944445" w:rsidRPr="008C2874" w:rsidRDefault="00944445" w:rsidP="008C2874">
      <w:pPr>
        <w:rPr>
          <w:rFonts w:ascii="Arial" w:hAnsi="Arial" w:cs="Arial"/>
          <w:b/>
        </w:rPr>
      </w:pPr>
    </w:p>
    <w:p w14:paraId="0CFE1EE8" w14:textId="10C1B695" w:rsidR="008C2874" w:rsidRDefault="008C2874" w:rsidP="00CF7EC3">
      <w:pPr>
        <w:spacing w:line="360" w:lineRule="auto"/>
        <w:rPr>
          <w:rFonts w:ascii="Arial" w:hAnsi="Arial" w:cs="Arial"/>
        </w:rPr>
      </w:pPr>
      <w:r w:rsidRPr="008C2874">
        <w:rPr>
          <w:rFonts w:ascii="Arial" w:hAnsi="Arial" w:cs="Arial"/>
        </w:rPr>
        <w:t>Specified Investments are, by definition in the Guidance note, offering high security and high liquidity, made in Sterling and with a maturing of no more than one year</w:t>
      </w:r>
      <w:r w:rsidR="00ED1651">
        <w:rPr>
          <w:rFonts w:ascii="Arial" w:hAnsi="Arial" w:cs="Arial"/>
        </w:rPr>
        <w:t>.</w:t>
      </w:r>
      <w:r w:rsidRPr="008C2874">
        <w:rPr>
          <w:rFonts w:ascii="Arial" w:hAnsi="Arial" w:cs="Arial"/>
        </w:rPr>
        <w:t xml:space="preserve">  Such short term investments made with the UK Government or local authority to the Parish Council will automatically be Specified Investments, as will those with bodies or investments schemes of “high credit quality”.</w:t>
      </w:r>
    </w:p>
    <w:p w14:paraId="54FA5747" w14:textId="77777777" w:rsidR="00944445" w:rsidRPr="008C2874" w:rsidRDefault="00944445" w:rsidP="008C2874">
      <w:pPr>
        <w:rPr>
          <w:rFonts w:ascii="Arial" w:hAnsi="Arial" w:cs="Arial"/>
        </w:rPr>
      </w:pPr>
    </w:p>
    <w:p w14:paraId="229273B4" w14:textId="77777777" w:rsidR="00ED1651" w:rsidRDefault="008C2874" w:rsidP="00CF7EC3">
      <w:pPr>
        <w:spacing w:line="360" w:lineRule="auto"/>
        <w:rPr>
          <w:rFonts w:ascii="Arial" w:hAnsi="Arial" w:cs="Arial"/>
        </w:rPr>
      </w:pPr>
      <w:r w:rsidRPr="008C2874">
        <w:rPr>
          <w:rFonts w:ascii="Arial" w:hAnsi="Arial" w:cs="Arial"/>
        </w:rPr>
        <w:t>For prudent management of its treasury balances maintaining sufficient levels of security and liquidity the Parish Council will use</w:t>
      </w:r>
      <w:r w:rsidR="00ED1651">
        <w:rPr>
          <w:rFonts w:ascii="Arial" w:hAnsi="Arial" w:cs="Arial"/>
        </w:rPr>
        <w:t xml:space="preserve"> d</w:t>
      </w:r>
      <w:r w:rsidRPr="008C2874">
        <w:rPr>
          <w:rFonts w:ascii="Arial" w:hAnsi="Arial" w:cs="Arial"/>
        </w:rPr>
        <w:t>eposits with UK banks, UK Building Societies, UK local authorities or other UK public authorities</w:t>
      </w:r>
      <w:r w:rsidR="00ED1651">
        <w:rPr>
          <w:rFonts w:ascii="Arial" w:hAnsi="Arial" w:cs="Arial"/>
        </w:rPr>
        <w:t>.</w:t>
      </w:r>
    </w:p>
    <w:p w14:paraId="3A0DFE05" w14:textId="55C5DBEA" w:rsidR="008C2874" w:rsidRPr="008C2874" w:rsidRDefault="008C2874" w:rsidP="00ED1651">
      <w:pPr>
        <w:rPr>
          <w:rFonts w:ascii="Arial" w:hAnsi="Arial" w:cs="Arial"/>
        </w:rPr>
      </w:pPr>
      <w:r w:rsidRPr="008C2874">
        <w:rPr>
          <w:rFonts w:ascii="Arial" w:hAnsi="Arial" w:cs="Arial"/>
        </w:rPr>
        <w:t xml:space="preserve">  </w:t>
      </w:r>
    </w:p>
    <w:p w14:paraId="05505642" w14:textId="02C7072B" w:rsidR="008C2874" w:rsidRPr="00ED1651" w:rsidRDefault="008C2874" w:rsidP="008C2874">
      <w:pPr>
        <w:rPr>
          <w:rFonts w:ascii="Arial" w:hAnsi="Arial" w:cs="Arial"/>
          <w:b/>
          <w:u w:val="single"/>
        </w:rPr>
      </w:pPr>
      <w:r w:rsidRPr="00ED1651">
        <w:rPr>
          <w:rFonts w:ascii="Arial" w:hAnsi="Arial" w:cs="Arial"/>
          <w:b/>
          <w:u w:val="single"/>
        </w:rPr>
        <w:t>Non-specified Investments</w:t>
      </w:r>
    </w:p>
    <w:p w14:paraId="286AA529" w14:textId="77777777" w:rsidR="000E32DC" w:rsidRPr="008C2874" w:rsidRDefault="000E32DC" w:rsidP="008C2874">
      <w:pPr>
        <w:rPr>
          <w:rFonts w:ascii="Arial" w:hAnsi="Arial" w:cs="Arial"/>
          <w:b/>
        </w:rPr>
      </w:pPr>
    </w:p>
    <w:p w14:paraId="7609CDA8" w14:textId="676D961B" w:rsidR="008C2874" w:rsidRDefault="008C2874" w:rsidP="00CF7EC3">
      <w:pPr>
        <w:spacing w:line="360" w:lineRule="auto"/>
        <w:rPr>
          <w:rFonts w:ascii="Arial" w:hAnsi="Arial" w:cs="Arial"/>
        </w:rPr>
      </w:pPr>
      <w:r w:rsidRPr="008C2874">
        <w:rPr>
          <w:rFonts w:ascii="Arial" w:hAnsi="Arial" w:cs="Arial"/>
        </w:rPr>
        <w:t xml:space="preserve">These have greater potential risk – examples include investment in the money market, subordinated bonds from banks, permanent interest beating shares from building societies and corporate stocks and shares.  </w:t>
      </w:r>
    </w:p>
    <w:p w14:paraId="5119F878" w14:textId="77777777" w:rsidR="000E32DC" w:rsidRPr="008C2874" w:rsidRDefault="000E32DC" w:rsidP="008C2874">
      <w:pPr>
        <w:rPr>
          <w:rFonts w:ascii="Arial" w:hAnsi="Arial" w:cs="Arial"/>
        </w:rPr>
      </w:pPr>
    </w:p>
    <w:p w14:paraId="7123A242" w14:textId="6C5DEEC7" w:rsidR="008C2874" w:rsidRDefault="008C2874" w:rsidP="00CF7EC3">
      <w:pPr>
        <w:spacing w:line="360" w:lineRule="auto"/>
        <w:rPr>
          <w:rFonts w:ascii="Arial" w:hAnsi="Arial" w:cs="Arial"/>
        </w:rPr>
      </w:pPr>
      <w:r w:rsidRPr="008C2874">
        <w:rPr>
          <w:rFonts w:ascii="Arial" w:hAnsi="Arial" w:cs="Arial"/>
        </w:rPr>
        <w:t xml:space="preserve">Given the unpredictability and uncertainties surrounding such investments, the Council will not use this type of investment. </w:t>
      </w:r>
    </w:p>
    <w:p w14:paraId="6A9E4AAA" w14:textId="77777777" w:rsidR="000E32DC" w:rsidRPr="008C2874" w:rsidRDefault="000E32DC" w:rsidP="008C2874">
      <w:pPr>
        <w:rPr>
          <w:rFonts w:ascii="Arial" w:hAnsi="Arial" w:cs="Arial"/>
        </w:rPr>
      </w:pPr>
    </w:p>
    <w:p w14:paraId="7F14C478" w14:textId="55A35E0F" w:rsidR="008C2874" w:rsidRPr="00BA58E1" w:rsidRDefault="008C2874" w:rsidP="008C2874">
      <w:pPr>
        <w:rPr>
          <w:rFonts w:ascii="Arial" w:hAnsi="Arial" w:cs="Arial"/>
          <w:b/>
          <w:bCs/>
          <w:u w:val="single"/>
        </w:rPr>
      </w:pPr>
      <w:r w:rsidRPr="00BA58E1">
        <w:rPr>
          <w:rFonts w:ascii="Arial" w:hAnsi="Arial" w:cs="Arial"/>
          <w:b/>
          <w:bCs/>
          <w:u w:val="single"/>
        </w:rPr>
        <w:t>Liquidity of Investments</w:t>
      </w:r>
    </w:p>
    <w:p w14:paraId="775C3A6A" w14:textId="77777777" w:rsidR="000E32DC" w:rsidRPr="008C2874" w:rsidRDefault="000E32DC" w:rsidP="008C2874">
      <w:pPr>
        <w:rPr>
          <w:rFonts w:ascii="Arial" w:hAnsi="Arial" w:cs="Arial"/>
        </w:rPr>
      </w:pPr>
    </w:p>
    <w:p w14:paraId="5AC23198" w14:textId="28994E72" w:rsidR="008C2874" w:rsidRDefault="008C2874" w:rsidP="00CF7EC3">
      <w:pPr>
        <w:spacing w:line="360" w:lineRule="auto"/>
        <w:rPr>
          <w:rFonts w:ascii="Arial" w:hAnsi="Arial" w:cs="Arial"/>
        </w:rPr>
      </w:pPr>
      <w:r w:rsidRPr="008C2874">
        <w:rPr>
          <w:rFonts w:ascii="Arial" w:hAnsi="Arial" w:cs="Arial"/>
        </w:rPr>
        <w:t xml:space="preserve">The Responsible Financial Officer/Clerk will recommend to the </w:t>
      </w:r>
      <w:r w:rsidR="00957D8F">
        <w:rPr>
          <w:rFonts w:ascii="Arial" w:hAnsi="Arial" w:cs="Arial"/>
        </w:rPr>
        <w:t>Council</w:t>
      </w:r>
      <w:r w:rsidRPr="008C2874">
        <w:rPr>
          <w:rFonts w:ascii="Arial" w:hAnsi="Arial" w:cs="Arial"/>
        </w:rPr>
        <w:t xml:space="preserve"> any investments to be made.</w:t>
      </w:r>
    </w:p>
    <w:p w14:paraId="5250FD28" w14:textId="77777777" w:rsidR="000E32DC" w:rsidRPr="008C2874" w:rsidRDefault="000E32DC" w:rsidP="008C2874">
      <w:pPr>
        <w:rPr>
          <w:rFonts w:ascii="Arial" w:hAnsi="Arial" w:cs="Arial"/>
        </w:rPr>
      </w:pPr>
    </w:p>
    <w:p w14:paraId="66F573C0" w14:textId="080CCABD" w:rsidR="008C2874" w:rsidRPr="00BA58E1" w:rsidRDefault="008C2874" w:rsidP="008C2874">
      <w:pPr>
        <w:rPr>
          <w:rFonts w:ascii="Arial" w:hAnsi="Arial" w:cs="Arial"/>
          <w:b/>
          <w:u w:val="single"/>
        </w:rPr>
      </w:pPr>
      <w:r w:rsidRPr="00BA58E1">
        <w:rPr>
          <w:rFonts w:ascii="Arial" w:hAnsi="Arial" w:cs="Arial"/>
          <w:b/>
          <w:u w:val="single"/>
        </w:rPr>
        <w:t>Long-term Investments</w:t>
      </w:r>
    </w:p>
    <w:p w14:paraId="6DCA7B04" w14:textId="77777777" w:rsidR="000E32DC" w:rsidRPr="008C2874" w:rsidRDefault="000E32DC" w:rsidP="008C2874">
      <w:pPr>
        <w:rPr>
          <w:rFonts w:ascii="Arial" w:hAnsi="Arial" w:cs="Arial"/>
          <w:b/>
        </w:rPr>
      </w:pPr>
    </w:p>
    <w:p w14:paraId="71667D4A" w14:textId="4CE489E9" w:rsidR="008C2874" w:rsidRDefault="008C2874" w:rsidP="00CF7EC3">
      <w:pPr>
        <w:spacing w:line="360" w:lineRule="auto"/>
        <w:rPr>
          <w:rFonts w:ascii="Arial" w:hAnsi="Arial" w:cs="Arial"/>
        </w:rPr>
      </w:pPr>
      <w:r w:rsidRPr="008C2874">
        <w:rPr>
          <w:rFonts w:ascii="Arial" w:hAnsi="Arial" w:cs="Arial"/>
        </w:rPr>
        <w:t>These are defined as longer than 12 months and require that</w:t>
      </w:r>
      <w:r w:rsidR="00E75074">
        <w:rPr>
          <w:rFonts w:ascii="Arial" w:hAnsi="Arial" w:cs="Arial"/>
        </w:rPr>
        <w:t>,</w:t>
      </w:r>
      <w:r w:rsidRPr="008C2874">
        <w:rPr>
          <w:rFonts w:ascii="Arial" w:hAnsi="Arial" w:cs="Arial"/>
        </w:rPr>
        <w:t xml:space="preserve"> should the Council wish to invest for periods longer than 12 months</w:t>
      </w:r>
      <w:r w:rsidR="00E75074">
        <w:rPr>
          <w:rFonts w:ascii="Arial" w:hAnsi="Arial" w:cs="Arial"/>
        </w:rPr>
        <w:t>,</w:t>
      </w:r>
      <w:r w:rsidRPr="008C2874">
        <w:rPr>
          <w:rFonts w:ascii="Arial" w:hAnsi="Arial" w:cs="Arial"/>
        </w:rPr>
        <w:t xml:space="preserve"> it must identify the procedure for monitoring, assessing and mitigating the risk of loss of invested sums.</w:t>
      </w:r>
    </w:p>
    <w:p w14:paraId="670F63F3" w14:textId="77777777" w:rsidR="000E32DC" w:rsidRPr="008C2874" w:rsidRDefault="000E32DC" w:rsidP="008C2874">
      <w:pPr>
        <w:rPr>
          <w:rFonts w:ascii="Arial" w:hAnsi="Arial" w:cs="Arial"/>
        </w:rPr>
      </w:pPr>
    </w:p>
    <w:p w14:paraId="03E17958" w14:textId="547A4F1F" w:rsidR="008C2874" w:rsidRPr="00BA58E1" w:rsidRDefault="008C2874" w:rsidP="008C2874">
      <w:pPr>
        <w:rPr>
          <w:rFonts w:ascii="Arial" w:hAnsi="Arial" w:cs="Arial"/>
          <w:b/>
          <w:u w:val="single"/>
        </w:rPr>
      </w:pPr>
      <w:r w:rsidRPr="00BA58E1">
        <w:rPr>
          <w:rFonts w:ascii="Arial" w:hAnsi="Arial" w:cs="Arial"/>
          <w:b/>
          <w:u w:val="single"/>
        </w:rPr>
        <w:t xml:space="preserve">End of Year Investment Report </w:t>
      </w:r>
    </w:p>
    <w:p w14:paraId="733A3D0A" w14:textId="77777777" w:rsidR="000E32DC" w:rsidRPr="008C2874" w:rsidRDefault="000E32DC" w:rsidP="008C2874">
      <w:pPr>
        <w:rPr>
          <w:rFonts w:ascii="Arial" w:hAnsi="Arial" w:cs="Arial"/>
          <w:b/>
        </w:rPr>
      </w:pPr>
    </w:p>
    <w:p w14:paraId="7BF8E960" w14:textId="2F4D983F" w:rsidR="008C2874" w:rsidRDefault="008C2874" w:rsidP="00CF7EC3">
      <w:pPr>
        <w:spacing w:line="360" w:lineRule="auto"/>
        <w:rPr>
          <w:rFonts w:ascii="Arial" w:hAnsi="Arial" w:cs="Arial"/>
        </w:rPr>
      </w:pPr>
      <w:r w:rsidRPr="008C2874">
        <w:rPr>
          <w:rFonts w:ascii="Arial" w:hAnsi="Arial" w:cs="Arial"/>
        </w:rPr>
        <w:t xml:space="preserve">At the end of the Financial Year, the Responsible Financial Officer/Clerk will report on investment action to the </w:t>
      </w:r>
      <w:r w:rsidR="00957D8F">
        <w:rPr>
          <w:rFonts w:ascii="Arial" w:hAnsi="Arial" w:cs="Arial"/>
        </w:rPr>
        <w:t>Council.</w:t>
      </w:r>
      <w:r w:rsidRPr="008C2874">
        <w:rPr>
          <w:rFonts w:ascii="Arial" w:hAnsi="Arial" w:cs="Arial"/>
        </w:rPr>
        <w:t xml:space="preserve"> </w:t>
      </w:r>
    </w:p>
    <w:p w14:paraId="0D117954" w14:textId="77777777" w:rsidR="000E32DC" w:rsidRPr="008C2874" w:rsidRDefault="000E32DC" w:rsidP="008C2874">
      <w:pPr>
        <w:rPr>
          <w:rFonts w:ascii="Arial" w:hAnsi="Arial" w:cs="Arial"/>
        </w:rPr>
      </w:pPr>
    </w:p>
    <w:p w14:paraId="171E01DC" w14:textId="726843B6" w:rsidR="008C2874" w:rsidRPr="00BA58E1" w:rsidRDefault="008C2874" w:rsidP="008C2874">
      <w:pPr>
        <w:rPr>
          <w:rFonts w:ascii="Arial" w:hAnsi="Arial" w:cs="Arial"/>
          <w:b/>
          <w:bCs/>
          <w:u w:val="single"/>
        </w:rPr>
      </w:pPr>
      <w:r w:rsidRPr="00BA58E1">
        <w:rPr>
          <w:rFonts w:ascii="Arial" w:hAnsi="Arial" w:cs="Arial"/>
          <w:b/>
          <w:bCs/>
          <w:u w:val="single"/>
        </w:rPr>
        <w:t>Review and Amendment of the Policy</w:t>
      </w:r>
    </w:p>
    <w:p w14:paraId="24FA7FCD" w14:textId="77777777" w:rsidR="000E32DC" w:rsidRPr="008C2874" w:rsidRDefault="000E32DC" w:rsidP="008C2874">
      <w:pPr>
        <w:rPr>
          <w:rFonts w:ascii="Arial" w:hAnsi="Arial" w:cs="Arial"/>
        </w:rPr>
      </w:pPr>
    </w:p>
    <w:p w14:paraId="7C9C657E" w14:textId="7DE1B026" w:rsidR="000A3DC7" w:rsidRPr="008C2874" w:rsidRDefault="008C2874" w:rsidP="00CF7EC3">
      <w:pPr>
        <w:spacing w:line="360" w:lineRule="auto"/>
        <w:rPr>
          <w:rFonts w:ascii="Arial" w:hAnsi="Arial" w:cs="Arial"/>
        </w:rPr>
      </w:pPr>
      <w:r w:rsidRPr="008C2874">
        <w:rPr>
          <w:rFonts w:ascii="Arial" w:hAnsi="Arial" w:cs="Arial"/>
        </w:rPr>
        <w:t>The Policy will conform with CLG Guidance Note and will be reviewed by the Responsible Financial Officer/Clerk for consideration and approval annually.</w:t>
      </w:r>
    </w:p>
    <w:sectPr w:rsidR="000A3DC7" w:rsidRPr="008C2874" w:rsidSect="002F57CC">
      <w:pgSz w:w="11906" w:h="16838" w:code="9"/>
      <w:pgMar w:top="426" w:right="849" w:bottom="709" w:left="851" w:header="567"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0BFF" w14:textId="77777777" w:rsidR="000544BB" w:rsidRDefault="000544BB" w:rsidP="00C9063A">
      <w:r>
        <w:separator/>
      </w:r>
    </w:p>
  </w:endnote>
  <w:endnote w:type="continuationSeparator" w:id="0">
    <w:p w14:paraId="5A8DBA92" w14:textId="77777777" w:rsidR="000544BB" w:rsidRDefault="000544BB" w:rsidP="00C9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DB4C" w14:textId="77777777" w:rsidR="000544BB" w:rsidRDefault="000544BB" w:rsidP="00C9063A">
      <w:r>
        <w:separator/>
      </w:r>
    </w:p>
  </w:footnote>
  <w:footnote w:type="continuationSeparator" w:id="0">
    <w:p w14:paraId="6C5F4ABE" w14:textId="77777777" w:rsidR="000544BB" w:rsidRDefault="000544BB" w:rsidP="00C90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850"/>
    <w:multiLevelType w:val="multilevel"/>
    <w:tmpl w:val="A5B6A4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4A37C32"/>
    <w:multiLevelType w:val="hybridMultilevel"/>
    <w:tmpl w:val="FF480AB0"/>
    <w:lvl w:ilvl="0" w:tplc="70A4D44C">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3B5A29E1"/>
    <w:multiLevelType w:val="multilevel"/>
    <w:tmpl w:val="A5B6A4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FF539E0"/>
    <w:multiLevelType w:val="hybridMultilevel"/>
    <w:tmpl w:val="B7748C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A07EA9"/>
    <w:multiLevelType w:val="hybridMultilevel"/>
    <w:tmpl w:val="8A50A4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3F1CB3"/>
    <w:multiLevelType w:val="hybridMultilevel"/>
    <w:tmpl w:val="2DB6FD20"/>
    <w:lvl w:ilvl="0" w:tplc="A1E41EE8">
      <w:start w:val="1"/>
      <w:numFmt w:val="lowerLetter"/>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203A5A"/>
    <w:multiLevelType w:val="multilevel"/>
    <w:tmpl w:val="A042B4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8688704">
    <w:abstractNumId w:val="2"/>
  </w:num>
  <w:num w:numId="2" w16cid:durableId="41446515">
    <w:abstractNumId w:val="0"/>
  </w:num>
  <w:num w:numId="3" w16cid:durableId="352270957">
    <w:abstractNumId w:val="6"/>
  </w:num>
  <w:num w:numId="4" w16cid:durableId="1578397410">
    <w:abstractNumId w:val="5"/>
  </w:num>
  <w:num w:numId="5" w16cid:durableId="1308437365">
    <w:abstractNumId w:val="1"/>
  </w:num>
  <w:num w:numId="6" w16cid:durableId="694186467">
    <w:abstractNumId w:val="3"/>
  </w:num>
  <w:num w:numId="7" w16cid:durableId="1489325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DC7"/>
    <w:rsid w:val="00020CE7"/>
    <w:rsid w:val="000544BB"/>
    <w:rsid w:val="00074F22"/>
    <w:rsid w:val="000A3DC7"/>
    <w:rsid w:val="000B4557"/>
    <w:rsid w:val="000E32DC"/>
    <w:rsid w:val="00106B49"/>
    <w:rsid w:val="001C6A64"/>
    <w:rsid w:val="001E4092"/>
    <w:rsid w:val="00204375"/>
    <w:rsid w:val="00221453"/>
    <w:rsid w:val="002331FA"/>
    <w:rsid w:val="0024693A"/>
    <w:rsid w:val="0025096C"/>
    <w:rsid w:val="002E00CA"/>
    <w:rsid w:val="002F57CC"/>
    <w:rsid w:val="003066B5"/>
    <w:rsid w:val="0038643D"/>
    <w:rsid w:val="003E1A52"/>
    <w:rsid w:val="00413F56"/>
    <w:rsid w:val="004308E5"/>
    <w:rsid w:val="00581CC8"/>
    <w:rsid w:val="005B39A9"/>
    <w:rsid w:val="005D65DF"/>
    <w:rsid w:val="005F7C43"/>
    <w:rsid w:val="006238BD"/>
    <w:rsid w:val="0067447E"/>
    <w:rsid w:val="006F2F28"/>
    <w:rsid w:val="0073283E"/>
    <w:rsid w:val="007A5747"/>
    <w:rsid w:val="007B5311"/>
    <w:rsid w:val="008106AF"/>
    <w:rsid w:val="008130F2"/>
    <w:rsid w:val="008356DA"/>
    <w:rsid w:val="0083731D"/>
    <w:rsid w:val="008C2874"/>
    <w:rsid w:val="008D019F"/>
    <w:rsid w:val="00944445"/>
    <w:rsid w:val="00957D8F"/>
    <w:rsid w:val="009E3B16"/>
    <w:rsid w:val="009E5B50"/>
    <w:rsid w:val="00A24186"/>
    <w:rsid w:val="00A4296C"/>
    <w:rsid w:val="00A450B4"/>
    <w:rsid w:val="00AB16B0"/>
    <w:rsid w:val="00AD2B90"/>
    <w:rsid w:val="00B1348A"/>
    <w:rsid w:val="00B75B7F"/>
    <w:rsid w:val="00B86BB7"/>
    <w:rsid w:val="00BA1B30"/>
    <w:rsid w:val="00BA58E1"/>
    <w:rsid w:val="00BC760C"/>
    <w:rsid w:val="00BE4254"/>
    <w:rsid w:val="00C234CB"/>
    <w:rsid w:val="00C6495E"/>
    <w:rsid w:val="00C9063A"/>
    <w:rsid w:val="00CB7A5F"/>
    <w:rsid w:val="00CF567E"/>
    <w:rsid w:val="00CF7EC3"/>
    <w:rsid w:val="00D35939"/>
    <w:rsid w:val="00DB582D"/>
    <w:rsid w:val="00E01D1E"/>
    <w:rsid w:val="00E03959"/>
    <w:rsid w:val="00E152C7"/>
    <w:rsid w:val="00E43B0A"/>
    <w:rsid w:val="00E75074"/>
    <w:rsid w:val="00ED1651"/>
    <w:rsid w:val="00EE2AAF"/>
    <w:rsid w:val="00F6545C"/>
    <w:rsid w:val="00F94B49"/>
    <w:rsid w:val="00FD4EF1"/>
    <w:rsid w:val="00FE5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6572"/>
  <w15:chartTrackingRefBased/>
  <w15:docId w15:val="{62838AE0-CB02-4475-9609-D27CF38D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D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A3DC7"/>
    <w:pPr>
      <w:jc w:val="center"/>
    </w:pPr>
    <w:rPr>
      <w:rFonts w:ascii="CG Times" w:hAnsi="CG Times" w:cs="Arial"/>
      <w:b/>
      <w:bCs/>
      <w:sz w:val="32"/>
    </w:rPr>
  </w:style>
  <w:style w:type="character" w:customStyle="1" w:styleId="SubtitleChar">
    <w:name w:val="Subtitle Char"/>
    <w:basedOn w:val="DefaultParagraphFont"/>
    <w:link w:val="Subtitle"/>
    <w:rsid w:val="000A3DC7"/>
    <w:rPr>
      <w:rFonts w:ascii="CG Times" w:eastAsia="Times New Roman" w:hAnsi="CG Times" w:cs="Arial"/>
      <w:b/>
      <w:bCs/>
      <w:sz w:val="32"/>
      <w:szCs w:val="24"/>
    </w:rPr>
  </w:style>
  <w:style w:type="paragraph" w:customStyle="1" w:styleId="Default">
    <w:name w:val="Default"/>
    <w:rsid w:val="000A3DC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0A3DC7"/>
    <w:pPr>
      <w:ind w:left="720"/>
      <w:contextualSpacing/>
    </w:pPr>
  </w:style>
  <w:style w:type="paragraph" w:styleId="Header">
    <w:name w:val="header"/>
    <w:basedOn w:val="Normal"/>
    <w:link w:val="HeaderChar"/>
    <w:uiPriority w:val="99"/>
    <w:unhideWhenUsed/>
    <w:rsid w:val="00C9063A"/>
    <w:pPr>
      <w:tabs>
        <w:tab w:val="center" w:pos="4513"/>
        <w:tab w:val="right" w:pos="9026"/>
      </w:tabs>
    </w:pPr>
  </w:style>
  <w:style w:type="character" w:customStyle="1" w:styleId="HeaderChar">
    <w:name w:val="Header Char"/>
    <w:basedOn w:val="DefaultParagraphFont"/>
    <w:link w:val="Header"/>
    <w:uiPriority w:val="99"/>
    <w:rsid w:val="00C906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063A"/>
    <w:pPr>
      <w:tabs>
        <w:tab w:val="center" w:pos="4513"/>
        <w:tab w:val="right" w:pos="9026"/>
      </w:tabs>
    </w:pPr>
  </w:style>
  <w:style w:type="character" w:customStyle="1" w:styleId="FooterChar">
    <w:name w:val="Footer Char"/>
    <w:basedOn w:val="DefaultParagraphFont"/>
    <w:link w:val="Footer"/>
    <w:uiPriority w:val="99"/>
    <w:rsid w:val="00C906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0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63A"/>
    <w:rPr>
      <w:rFonts w:ascii="Segoe UI" w:eastAsia="Times New Roman" w:hAnsi="Segoe UI" w:cs="Segoe UI"/>
      <w:sz w:val="18"/>
      <w:szCs w:val="18"/>
    </w:rPr>
  </w:style>
  <w:style w:type="character" w:styleId="Hyperlink">
    <w:name w:val="Hyperlink"/>
    <w:uiPriority w:val="99"/>
    <w:rsid w:val="00BE4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newdonparish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6b48a5-8e8f-48e1-94e2-e24480c50c55">
      <Terms xmlns="http://schemas.microsoft.com/office/infopath/2007/PartnerControls"/>
    </lcf76f155ced4ddcb4097134ff3c332f>
    <TaxCatchAll xmlns="d995590c-2572-41f2-837d-137cb129dc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D4261E0DC6CC44B1B45FA4BE1E6165" ma:contentTypeVersion="16" ma:contentTypeDescription="Create a new document." ma:contentTypeScope="" ma:versionID="daa28efc521e2fbc41903ad7a0bdd22b">
  <xsd:schema xmlns:xsd="http://www.w3.org/2001/XMLSchema" xmlns:xs="http://www.w3.org/2001/XMLSchema" xmlns:p="http://schemas.microsoft.com/office/2006/metadata/properties" xmlns:ns2="9b6b48a5-8e8f-48e1-94e2-e24480c50c55" xmlns:ns3="d995590c-2572-41f2-837d-137cb129dcad" targetNamespace="http://schemas.microsoft.com/office/2006/metadata/properties" ma:root="true" ma:fieldsID="fb446425f3df2b48286c6418f5b527d7" ns2:_="" ns3:_="">
    <xsd:import namespace="9b6b48a5-8e8f-48e1-94e2-e24480c50c55"/>
    <xsd:import namespace="d995590c-2572-41f2-837d-137cb129d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b48a5-8e8f-48e1-94e2-e24480c50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eeb43d-cfd7-48cc-8e24-6ca084f6a3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95590c-2572-41f2-837d-137cb129dca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6ffc7d-17c6-41c1-9e1d-bba815b87a2d}" ma:internalName="TaxCatchAll" ma:showField="CatchAllData" ma:web="d995590c-2572-41f2-837d-137cb129d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7B841-B264-42CB-97A9-C5D87E4B4237}">
  <ds:schemaRefs>
    <ds:schemaRef ds:uri="http://schemas.microsoft.com/sharepoint/v3/contenttype/forms"/>
  </ds:schemaRefs>
</ds:datastoreItem>
</file>

<file path=customXml/itemProps2.xml><?xml version="1.0" encoding="utf-8"?>
<ds:datastoreItem xmlns:ds="http://schemas.openxmlformats.org/officeDocument/2006/customXml" ds:itemID="{B329AA68-380F-434C-8BFE-CF8BD6D3AD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BBDCA3-5EC7-4A3A-AF86-D2E1CA3430D1}"/>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Canewdon Parish Council</dc:creator>
  <cp:keywords/>
  <dc:description/>
  <cp:lastModifiedBy>Kelly Holland - Canewdon Parish Council</cp:lastModifiedBy>
  <cp:revision>6</cp:revision>
  <cp:lastPrinted>2014-06-25T09:10:00Z</cp:lastPrinted>
  <dcterms:created xsi:type="dcterms:W3CDTF">2020-12-15T13:18:00Z</dcterms:created>
  <dcterms:modified xsi:type="dcterms:W3CDTF">2023-01-20T07:54:00Z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0x010100BDD4261E0DC6CC44B1B45FA4BE1E6165</vt:lpwstr>
  </property>
</Properties>
</file>